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fzeile"/>
        <w:rPr>
          <w:rFonts w:ascii="Arial" w:hAnsi="Arial" w:cs="Arial"/>
          <w:sz w:val="28"/>
          <w:szCs w:val="28"/>
        </w:rPr>
      </w:pPr>
      <w:r>
        <w:rPr>
          <w:rFonts w:cs="Arial" w:ascii="Arial" w:hAnsi="Arial"/>
          <w:sz w:val="28"/>
          <w:szCs w:val="28"/>
        </w:rPr>
      </w:r>
    </w:p>
    <w:p>
      <w:pPr>
        <w:pStyle w:val="Kopfzeile"/>
        <w:rPr>
          <w:rFonts w:ascii="Arial" w:hAnsi="Arial" w:cs="Arial"/>
        </w:rPr>
      </w:pPr>
      <w:r>
        <w:rPr>
          <w:rFonts w:cs="Arial" w:ascii="Arial" w:hAnsi="Arial"/>
        </w:rPr>
      </w:r>
    </w:p>
    <w:p>
      <w:pPr>
        <w:pStyle w:val="Normal"/>
        <w:jc w:val="center"/>
        <w:rPr>
          <w:rFonts w:ascii="Arial" w:hAnsi="Arial" w:cs="Arial"/>
          <w:b/>
          <w:b/>
          <w:sz w:val="24"/>
          <w:szCs w:val="24"/>
        </w:rPr>
      </w:pPr>
      <w:r>
        <w:rPr>
          <w:rFonts w:cs="Arial" w:ascii="Arial" w:hAnsi="Arial"/>
          <w:b/>
          <w:sz w:val="24"/>
          <w:szCs w:val="24"/>
        </w:rPr>
        <w:t>Beitragsordnung</w:t>
        <w:br/>
        <w:t>(Stand 1. April 2018)</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t>Höhe der Beiträge</w:t>
      </w:r>
    </w:p>
    <w:tbl>
      <w:tblPr>
        <w:tblW w:w="9347" w:type="dxa"/>
        <w:jc w:val="left"/>
        <w:tblInd w:w="109" w:type="dxa"/>
        <w:tblCellMar>
          <w:top w:w="0" w:type="dxa"/>
          <w:left w:w="70" w:type="dxa"/>
          <w:bottom w:w="0" w:type="dxa"/>
          <w:right w:w="70" w:type="dxa"/>
        </w:tblCellMar>
        <w:tblLook w:val="00a0"/>
      </w:tblPr>
      <w:tblGrid>
        <w:gridCol w:w="2654"/>
        <w:gridCol w:w="2528"/>
        <w:gridCol w:w="4165"/>
      </w:tblGrid>
      <w:tr>
        <w:trPr>
          <w:trHeight w:val="300" w:hRule="atLeast"/>
        </w:trPr>
        <w:tc>
          <w:tcPr>
            <w:tcW w:w="265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left"/>
              <w:rPr>
                <w:rFonts w:ascii="Arial" w:hAnsi="Arial" w:cs="Arial"/>
                <w:color w:val="000000"/>
                <w:sz w:val="24"/>
                <w:szCs w:val="24"/>
                <w:lang w:eastAsia="de-DE"/>
              </w:rPr>
            </w:pPr>
            <w:r>
              <w:rPr>
                <w:rFonts w:cs="Arial" w:ascii="Arial" w:hAnsi="Arial"/>
                <w:color w:val="000000"/>
                <w:sz w:val="24"/>
                <w:szCs w:val="24"/>
                <w:lang w:eastAsia="de-DE"/>
              </w:rPr>
            </w:r>
          </w:p>
        </w:tc>
        <w:tc>
          <w:tcPr>
            <w:tcW w:w="2528"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cs="Arial" w:ascii="Arial" w:hAnsi="Arial"/>
                <w:b/>
                <w:color w:val="000000"/>
                <w:sz w:val="24"/>
                <w:szCs w:val="24"/>
                <w:lang w:eastAsia="de-DE"/>
              </w:rPr>
              <w:t xml:space="preserve"> </w:t>
            </w:r>
            <w:r>
              <w:rPr>
                <w:rFonts w:cs="Arial" w:ascii="Arial" w:hAnsi="Arial"/>
                <w:b/>
                <w:color w:val="000000"/>
                <w:sz w:val="24"/>
                <w:szCs w:val="24"/>
                <w:lang w:eastAsia="de-DE"/>
              </w:rPr>
              <w:t xml:space="preserve">Beitrag pro Jahr </w:t>
            </w:r>
          </w:p>
          <w:p>
            <w:pPr>
              <w:pStyle w:val="Normal"/>
              <w:spacing w:lineRule="auto" w:line="240" w:before="0" w:after="0"/>
              <w:jc w:val="center"/>
              <w:rPr/>
            </w:pPr>
            <w:r>
              <w:rPr>
                <w:rFonts w:cs="Arial" w:ascii="Arial" w:hAnsi="Arial"/>
                <w:b/>
                <w:color w:val="000000"/>
                <w:sz w:val="24"/>
                <w:szCs w:val="24"/>
                <w:lang w:eastAsia="de-DE"/>
              </w:rPr>
              <w:t xml:space="preserve">(Euro) </w:t>
            </w:r>
          </w:p>
        </w:tc>
        <w:tc>
          <w:tcPr>
            <w:tcW w:w="416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cs="Arial" w:ascii="Arial" w:hAnsi="Arial"/>
                <w:b/>
                <w:color w:val="000000"/>
                <w:sz w:val="24"/>
                <w:szCs w:val="24"/>
                <w:lang w:eastAsia="de-DE"/>
              </w:rPr>
              <w:t xml:space="preserve"> </w:t>
            </w:r>
            <w:r>
              <w:rPr>
                <w:rFonts w:cs="Arial" w:ascii="Arial" w:hAnsi="Arial"/>
                <w:b/>
                <w:color w:val="000000"/>
                <w:sz w:val="24"/>
                <w:szCs w:val="24"/>
                <w:lang w:eastAsia="de-DE"/>
              </w:rPr>
              <w:t xml:space="preserve">Aufnahmegebühr (Euro) </w:t>
            </w:r>
          </w:p>
        </w:tc>
      </w:tr>
      <w:tr>
        <w:trPr>
          <w:trHeight w:val="300" w:hRule="atLeast"/>
        </w:trPr>
        <w:tc>
          <w:tcPr>
            <w:tcW w:w="2654"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cs="Arial" w:ascii="Arial" w:hAnsi="Arial"/>
                <w:b/>
                <w:color w:val="000000"/>
                <w:sz w:val="24"/>
                <w:szCs w:val="24"/>
                <w:lang w:eastAsia="de-DE"/>
              </w:rPr>
              <w:t>Jugendliche(r)</w:t>
            </w:r>
          </w:p>
        </w:tc>
        <w:tc>
          <w:tcPr>
            <w:tcW w:w="2528" w:type="dxa"/>
            <w:tcBorders>
              <w:bottom w:val="single" w:sz="4" w:space="0" w:color="000000"/>
              <w:right w:val="single" w:sz="4" w:space="0" w:color="000000"/>
            </w:tcBorders>
            <w:vAlign w:val="center"/>
          </w:tcPr>
          <w:p>
            <w:pPr>
              <w:pStyle w:val="Normal"/>
              <w:spacing w:lineRule="auto" w:line="240" w:before="0" w:after="0"/>
              <w:jc w:val="center"/>
              <w:rPr/>
            </w:pPr>
            <w:r>
              <w:rPr>
                <w:rFonts w:cs="Arial" w:ascii="Arial" w:hAnsi="Arial"/>
                <w:color w:val="000000"/>
                <w:sz w:val="24"/>
                <w:szCs w:val="24"/>
                <w:lang w:eastAsia="de-DE"/>
              </w:rPr>
              <w:t xml:space="preserve">31,00 </w:t>
            </w:r>
          </w:p>
        </w:tc>
        <w:tc>
          <w:tcPr>
            <w:tcW w:w="4165" w:type="dxa"/>
            <w:tcBorders>
              <w:bottom w:val="single" w:sz="4" w:space="0" w:color="000000"/>
              <w:right w:val="single" w:sz="4" w:space="0" w:color="000000"/>
            </w:tcBorders>
            <w:vAlign w:val="center"/>
          </w:tcPr>
          <w:p>
            <w:pPr>
              <w:pStyle w:val="Normal"/>
              <w:spacing w:lineRule="auto" w:line="240" w:before="0" w:after="0"/>
              <w:jc w:val="center"/>
              <w:rPr/>
            </w:pPr>
            <w:r>
              <w:rPr>
                <w:rFonts w:cs="Arial" w:ascii="Arial" w:hAnsi="Arial"/>
                <w:color w:val="000000"/>
                <w:sz w:val="24"/>
                <w:szCs w:val="24"/>
                <w:lang w:eastAsia="de-DE"/>
              </w:rPr>
              <w:t xml:space="preserve">  </w:t>
            </w:r>
            <w:r>
              <w:rPr>
                <w:rFonts w:cs="Arial" w:ascii="Arial" w:hAnsi="Arial"/>
                <w:color w:val="000000"/>
                <w:sz w:val="24"/>
                <w:szCs w:val="24"/>
                <w:lang w:eastAsia="de-DE"/>
              </w:rPr>
              <w:t xml:space="preserve">40,00 </w:t>
            </w:r>
          </w:p>
        </w:tc>
      </w:tr>
      <w:tr>
        <w:trPr>
          <w:trHeight w:val="300" w:hRule="atLeast"/>
        </w:trPr>
        <w:tc>
          <w:tcPr>
            <w:tcW w:w="2654"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cs="Arial" w:ascii="Arial" w:hAnsi="Arial"/>
                <w:b/>
                <w:color w:val="000000"/>
                <w:sz w:val="24"/>
                <w:szCs w:val="24"/>
                <w:lang w:eastAsia="de-DE"/>
              </w:rPr>
              <w:t>Erwachsener</w:t>
            </w:r>
          </w:p>
        </w:tc>
        <w:tc>
          <w:tcPr>
            <w:tcW w:w="2528" w:type="dxa"/>
            <w:tcBorders>
              <w:bottom w:val="single" w:sz="4" w:space="0" w:color="000000"/>
              <w:right w:val="single" w:sz="4" w:space="0" w:color="000000"/>
            </w:tcBorders>
            <w:vAlign w:val="center"/>
          </w:tcPr>
          <w:p>
            <w:pPr>
              <w:pStyle w:val="Normal"/>
              <w:spacing w:lineRule="auto" w:line="240" w:before="0" w:after="0"/>
              <w:jc w:val="center"/>
              <w:rPr/>
            </w:pPr>
            <w:r>
              <w:rPr>
                <w:rFonts w:cs="Arial" w:ascii="Arial" w:hAnsi="Arial"/>
                <w:color w:val="000000"/>
                <w:sz w:val="24"/>
                <w:szCs w:val="24"/>
                <w:lang w:eastAsia="de-DE"/>
              </w:rPr>
              <w:t>62,00</w:t>
            </w:r>
          </w:p>
        </w:tc>
        <w:tc>
          <w:tcPr>
            <w:tcW w:w="4165" w:type="dxa"/>
            <w:tcBorders>
              <w:bottom w:val="single" w:sz="4" w:space="0" w:color="000000"/>
              <w:right w:val="single" w:sz="4" w:space="0" w:color="000000"/>
            </w:tcBorders>
            <w:vAlign w:val="center"/>
          </w:tcPr>
          <w:p>
            <w:pPr>
              <w:pStyle w:val="Normal"/>
              <w:spacing w:lineRule="auto" w:line="240" w:before="0" w:after="0"/>
              <w:jc w:val="center"/>
              <w:rPr/>
            </w:pPr>
            <w:r>
              <w:rPr>
                <w:rFonts w:cs="Arial" w:ascii="Arial" w:hAnsi="Arial"/>
                <w:color w:val="000000"/>
                <w:sz w:val="24"/>
                <w:szCs w:val="24"/>
                <w:lang w:eastAsia="de-DE"/>
              </w:rPr>
              <w:t xml:space="preserve">  </w:t>
            </w:r>
            <w:r>
              <w:rPr>
                <w:rFonts w:cs="Arial" w:ascii="Arial" w:hAnsi="Arial"/>
                <w:color w:val="000000"/>
                <w:sz w:val="24"/>
                <w:szCs w:val="24"/>
                <w:lang w:eastAsia="de-DE"/>
              </w:rPr>
              <w:t>80,00 </w:t>
            </w:r>
          </w:p>
        </w:tc>
      </w:tr>
      <w:tr>
        <w:trPr>
          <w:trHeight w:val="300" w:hRule="atLeast"/>
        </w:trPr>
        <w:tc>
          <w:tcPr>
            <w:tcW w:w="2654"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cs="Arial" w:ascii="Arial" w:hAnsi="Arial"/>
                <w:b/>
                <w:color w:val="000000"/>
                <w:sz w:val="24"/>
                <w:szCs w:val="24"/>
                <w:lang w:eastAsia="de-DE"/>
              </w:rPr>
              <w:t>Familie</w:t>
            </w:r>
          </w:p>
        </w:tc>
        <w:tc>
          <w:tcPr>
            <w:tcW w:w="2528" w:type="dxa"/>
            <w:tcBorders>
              <w:bottom w:val="single" w:sz="4" w:space="0" w:color="000000"/>
              <w:right w:val="single" w:sz="4" w:space="0" w:color="000000"/>
            </w:tcBorders>
            <w:vAlign w:val="center"/>
          </w:tcPr>
          <w:p>
            <w:pPr>
              <w:pStyle w:val="Normal"/>
              <w:spacing w:lineRule="auto" w:line="240" w:before="0" w:after="0"/>
              <w:jc w:val="center"/>
              <w:rPr/>
            </w:pPr>
            <w:r>
              <w:rPr>
                <w:rFonts w:cs="Arial" w:ascii="Arial" w:hAnsi="Arial"/>
                <w:color w:val="000000"/>
                <w:sz w:val="24"/>
                <w:szCs w:val="24"/>
                <w:lang w:eastAsia="de-DE"/>
              </w:rPr>
              <w:t>90,00</w:t>
            </w:r>
          </w:p>
        </w:tc>
        <w:tc>
          <w:tcPr>
            <w:tcW w:w="4165" w:type="dxa"/>
            <w:tcBorders>
              <w:bottom w:val="single" w:sz="4" w:space="0" w:color="000000"/>
              <w:right w:val="single" w:sz="4" w:space="0" w:color="000000"/>
            </w:tcBorders>
            <w:vAlign w:val="center"/>
          </w:tcPr>
          <w:p>
            <w:pPr>
              <w:pStyle w:val="Normal"/>
              <w:spacing w:lineRule="auto" w:line="240" w:before="0" w:after="0"/>
              <w:jc w:val="center"/>
              <w:rPr/>
            </w:pPr>
            <w:r>
              <w:rPr>
                <w:rFonts w:cs="Arial" w:ascii="Arial" w:hAnsi="Arial"/>
                <w:color w:val="000000"/>
                <w:sz w:val="24"/>
                <w:szCs w:val="24"/>
                <w:lang w:eastAsia="de-DE"/>
              </w:rPr>
              <w:t>100,00</w:t>
            </w:r>
          </w:p>
        </w:tc>
      </w:tr>
    </w:tbl>
    <w:p>
      <w:pPr>
        <w:pStyle w:val="Textkrper"/>
        <w:rPr/>
      </w:pPr>
      <w:r>
        <w:rPr/>
      </w:r>
    </w:p>
    <w:tbl>
      <w:tblPr>
        <w:tblW w:w="9409" w:type="dxa"/>
        <w:jc w:val="left"/>
        <w:tblInd w:w="30" w:type="dxa"/>
        <w:tblCellMar>
          <w:top w:w="30" w:type="dxa"/>
          <w:left w:w="30" w:type="dxa"/>
          <w:bottom w:w="30" w:type="dxa"/>
          <w:right w:w="30" w:type="dxa"/>
        </w:tblCellMar>
      </w:tblPr>
      <w:tblGrid>
        <w:gridCol w:w="9409"/>
      </w:tblGrid>
      <w:tr>
        <w:trPr/>
        <w:tc>
          <w:tcPr>
            <w:tcW w:w="9409" w:type="dxa"/>
            <w:tcBorders/>
            <w:shd w:fill="FFFF38" w:val="clear"/>
          </w:tcPr>
          <w:p>
            <w:pPr>
              <w:pStyle w:val="Tabelleninhalt"/>
              <w:spacing w:before="0" w:after="200"/>
              <w:jc w:val="center"/>
              <w:rPr>
                <w:b/>
                <w:b/>
                <w:sz w:val="4"/>
                <w:szCs w:val="4"/>
                <w:u w:val="single"/>
              </w:rPr>
            </w:pPr>
            <w:r>
              <w:rPr>
                <w:rStyle w:val="Quelltext"/>
                <w:rFonts w:ascii="arial" w:hAnsi="arial"/>
                <w:b/>
                <w:sz w:val="32"/>
                <w:szCs w:val="32"/>
                <w:u w:val="single"/>
              </w:rPr>
              <w:t>Kontoverbindung</w:t>
            </w:r>
          </w:p>
        </w:tc>
      </w:tr>
      <w:tr>
        <w:trPr>
          <w:trHeight w:val="385" w:hRule="atLeast"/>
        </w:trPr>
        <w:tc>
          <w:tcPr>
            <w:tcW w:w="9409" w:type="dxa"/>
            <w:tcBorders/>
            <w:shd w:fill="FFFF38" w:val="clear"/>
            <w:tcMar>
              <w:top w:w="0" w:type="dxa"/>
              <w:left w:w="0" w:type="dxa"/>
              <w:bottom w:w="0" w:type="dxa"/>
              <w:right w:w="0" w:type="dxa"/>
            </w:tcMar>
            <w:vAlign w:val="center"/>
          </w:tcPr>
          <w:p>
            <w:pPr>
              <w:pStyle w:val="Tabelleninhalt"/>
              <w:spacing w:before="0" w:after="200"/>
              <w:jc w:val="center"/>
              <w:rPr>
                <w:rFonts w:ascii="arial" w:hAnsi="arial"/>
                <w:b w:val="false"/>
                <w:b w:val="false"/>
                <w:i w:val="false"/>
                <w:i w:val="false"/>
                <w:sz w:val="24"/>
              </w:rPr>
            </w:pPr>
            <w:r>
              <w:rPr>
                <w:rFonts w:ascii="arial" w:hAnsi="arial"/>
                <w:b w:val="false"/>
                <w:i w:val="false"/>
                <w:sz w:val="24"/>
              </w:rPr>
              <w:t>Sparkasse Krefeld</w:t>
            </w:r>
          </w:p>
        </w:tc>
      </w:tr>
      <w:tr>
        <w:trPr/>
        <w:tc>
          <w:tcPr>
            <w:tcW w:w="9409" w:type="dxa"/>
            <w:tcBorders/>
            <w:shd w:fill="FFFF38" w:val="clear"/>
            <w:tcMar>
              <w:top w:w="0" w:type="dxa"/>
              <w:left w:w="0" w:type="dxa"/>
              <w:bottom w:w="0" w:type="dxa"/>
              <w:right w:w="0" w:type="dxa"/>
            </w:tcMar>
            <w:vAlign w:val="center"/>
          </w:tcPr>
          <w:p>
            <w:pPr>
              <w:pStyle w:val="Tabelleninhalt"/>
              <w:spacing w:before="0" w:after="200"/>
              <w:jc w:val="center"/>
              <w:rPr>
                <w:rFonts w:ascii="arial" w:hAnsi="arial"/>
                <w:b w:val="false"/>
                <w:b w:val="false"/>
                <w:i w:val="false"/>
                <w:i w:val="false"/>
                <w:sz w:val="24"/>
              </w:rPr>
            </w:pPr>
            <w:r>
              <w:rPr>
                <w:rFonts w:ascii="arial" w:hAnsi="arial"/>
                <w:b w:val="false"/>
                <w:i w:val="false"/>
                <w:sz w:val="24"/>
              </w:rPr>
              <w:t>IBAN: DE36 3205 0000 0050 0138 61</w:t>
            </w:r>
          </w:p>
        </w:tc>
      </w:tr>
    </w:tbl>
    <w:p>
      <w:pPr>
        <w:pStyle w:val="Normal"/>
        <w:spacing w:lineRule="auto" w:line="259" w:before="0" w:after="120"/>
        <w:jc w:val="both"/>
        <w:rPr>
          <w:rFonts w:ascii="Arial" w:hAnsi="Arial" w:cs="Arial"/>
          <w:sz w:val="24"/>
          <w:szCs w:val="24"/>
        </w:rPr>
      </w:pPr>
      <w:r>
        <w:rPr>
          <w:rFonts w:cs="Arial" w:ascii="Arial" w:hAnsi="Arial"/>
          <w:sz w:val="24"/>
          <w:szCs w:val="24"/>
        </w:rPr>
      </w:r>
    </w:p>
    <w:p>
      <w:pPr>
        <w:pStyle w:val="Normal"/>
        <w:spacing w:lineRule="auto" w:line="259" w:before="0" w:after="120"/>
        <w:rPr>
          <w:rFonts w:ascii="Arial" w:hAnsi="Arial" w:cs="Arial"/>
          <w:sz w:val="24"/>
          <w:szCs w:val="24"/>
        </w:rPr>
      </w:pPr>
      <w:r>
        <w:rPr>
          <w:rFonts w:cs="Arial" w:ascii="Arial" w:hAnsi="Arial"/>
          <w:sz w:val="24"/>
          <w:szCs w:val="24"/>
        </w:rPr>
        <w:t xml:space="preserve">Bei Änderung einer Stammmitgliedschaft in eine Familienmitgliedschaft fällt keine Aufnahmegebühr an. Das gleiche gilt für Familienmitglieder, die aufgrund des Wegfalls der in § 4 Abs.2 der Satzung genannten Voraussetzungen für die Familienmitgliedschaft Stammmitglied werden. Bei Umwandlung einer Stammmitgliedschaft in eine Familienmitgliedschaft sind die erhöhten Mitgliedsbeiträge für die Familienmitgliedschaft ab dem Beginn des folgenden Rechnungsjahres zu entrichten. </w:t>
      </w:r>
    </w:p>
    <w:p>
      <w:pPr>
        <w:pStyle w:val="Normal"/>
        <w:spacing w:lineRule="auto" w:line="259" w:before="0" w:after="120"/>
        <w:rPr>
          <w:rFonts w:ascii="Arial" w:hAnsi="Arial" w:cs="Arial"/>
          <w:sz w:val="24"/>
          <w:szCs w:val="24"/>
        </w:rPr>
      </w:pPr>
      <w:r>
        <w:rPr>
          <w:rFonts w:cs="Arial" w:ascii="Arial" w:hAnsi="Arial"/>
          <w:sz w:val="24"/>
          <w:szCs w:val="24"/>
        </w:rPr>
        <w:t xml:space="preserve">Erwachsene im Sinne dieser Beitragsordnung sind Mitglieder die zu Beginn des Rechnungsjahres das 18. Lebensjahr vollendet haben und die nicht Auszubildende oder Studenten im Sinne der nachfolgenden Bestimmung sind. </w:t>
      </w:r>
    </w:p>
    <w:p>
      <w:pPr>
        <w:pStyle w:val="Normal"/>
        <w:spacing w:lineRule="auto" w:line="259" w:before="0" w:after="120"/>
        <w:rPr>
          <w:rFonts w:ascii="Arial" w:hAnsi="Arial" w:cs="Arial"/>
          <w:sz w:val="24"/>
          <w:szCs w:val="24"/>
        </w:rPr>
      </w:pPr>
      <w:r>
        <w:rPr>
          <w:rFonts w:cs="Arial" w:ascii="Arial" w:hAnsi="Arial"/>
          <w:sz w:val="24"/>
          <w:szCs w:val="24"/>
        </w:rPr>
        <w:t>Für Auszubildende und Studenten gilt auch nach Vollendung des 18. Lebensjahres der Beitrag für Jugendliche. Voraussetzung für diese Vergünstigung ist:</w:t>
      </w:r>
    </w:p>
    <w:p>
      <w:pPr>
        <w:pStyle w:val="ListParagraph"/>
        <w:numPr>
          <w:ilvl w:val="0"/>
          <w:numId w:val="1"/>
        </w:numPr>
        <w:spacing w:lineRule="auto" w:line="259" w:before="0" w:after="120"/>
        <w:contextualSpacing/>
        <w:rPr>
          <w:rFonts w:ascii="Arial" w:hAnsi="Arial" w:cs="Arial"/>
          <w:sz w:val="24"/>
          <w:szCs w:val="24"/>
        </w:rPr>
      </w:pPr>
      <w:r>
        <w:rPr>
          <w:rFonts w:cs="Arial" w:ascii="Arial" w:hAnsi="Arial"/>
          <w:sz w:val="24"/>
          <w:szCs w:val="24"/>
        </w:rPr>
        <w:t>dass das Mitglied zu Beginn des Rechnungsjahres das 25. Lebensjahr noch nicht vollendet hat;</w:t>
      </w:r>
    </w:p>
    <w:p>
      <w:pPr>
        <w:pStyle w:val="ListParagraph"/>
        <w:numPr>
          <w:ilvl w:val="0"/>
          <w:numId w:val="1"/>
        </w:numPr>
        <w:spacing w:lineRule="auto" w:line="259" w:before="0" w:after="120"/>
        <w:contextualSpacing/>
        <w:rPr>
          <w:rFonts w:ascii="Arial" w:hAnsi="Arial" w:cs="Arial"/>
          <w:sz w:val="24"/>
          <w:szCs w:val="24"/>
        </w:rPr>
      </w:pPr>
      <w:r>
        <w:rPr>
          <w:rFonts w:cs="Arial" w:ascii="Arial" w:hAnsi="Arial"/>
          <w:sz w:val="24"/>
          <w:szCs w:val="24"/>
        </w:rPr>
        <w:t xml:space="preserve">die Vorlage einer Ausbildungs- oder Studienbescheinigung. </w:t>
      </w:r>
    </w:p>
    <w:p>
      <w:pPr>
        <w:pStyle w:val="Normal"/>
        <w:spacing w:lineRule="auto" w:line="259" w:before="0" w:after="120"/>
        <w:rPr>
          <w:rFonts w:ascii="Arial" w:hAnsi="Arial" w:cs="Arial"/>
          <w:sz w:val="24"/>
          <w:szCs w:val="24"/>
        </w:rPr>
      </w:pPr>
      <w:r>
        <w:rPr>
          <w:rFonts w:cs="Arial" w:ascii="Arial" w:hAnsi="Arial"/>
          <w:sz w:val="24"/>
          <w:szCs w:val="24"/>
        </w:rPr>
      </w:r>
    </w:p>
    <w:p>
      <w:pPr>
        <w:pStyle w:val="Normal"/>
        <w:spacing w:lineRule="auto" w:line="259" w:before="0" w:after="120"/>
        <w:rPr>
          <w:rFonts w:ascii="Arial" w:hAnsi="Arial" w:cs="Arial"/>
          <w:sz w:val="24"/>
          <w:szCs w:val="24"/>
        </w:rPr>
      </w:pPr>
      <w:r>
        <w:br w:type="column"/>
      </w:r>
      <w:r>
        <w:rPr>
          <w:rFonts w:cs="Arial" w:ascii="Arial" w:hAnsi="Arial"/>
          <w:sz w:val="24"/>
          <w:szCs w:val="24"/>
        </w:rPr>
      </w:r>
    </w:p>
    <w:p>
      <w:pPr>
        <w:pStyle w:val="Normal"/>
        <w:spacing w:lineRule="auto" w:line="259" w:before="0" w:after="120"/>
        <w:rPr>
          <w:rFonts w:ascii="Arial" w:hAnsi="Arial" w:cs="Arial"/>
          <w:sz w:val="24"/>
          <w:szCs w:val="24"/>
        </w:rPr>
      </w:pPr>
      <w:r>
        <w:rPr>
          <w:rFonts w:cs="Arial" w:ascii="Arial" w:hAnsi="Arial"/>
          <w:sz w:val="24"/>
          <w:szCs w:val="24"/>
        </w:rPr>
      </w:r>
    </w:p>
    <w:p>
      <w:pPr>
        <w:pStyle w:val="Normal"/>
        <w:spacing w:lineRule="auto" w:line="259" w:before="0" w:after="120"/>
        <w:rPr>
          <w:rFonts w:ascii="Arial" w:hAnsi="Arial" w:cs="Arial"/>
          <w:sz w:val="24"/>
          <w:szCs w:val="24"/>
        </w:rPr>
      </w:pPr>
      <w:r>
        <w:rPr>
          <w:rFonts w:cs="Arial" w:ascii="Arial" w:hAnsi="Arial"/>
          <w:sz w:val="24"/>
          <w:szCs w:val="24"/>
        </w:rPr>
        <w:t>Die Ausbildungs- bzw. Studienbescheinigung ist bis 30. November eines jeden Jahres für das folgende Rechnungsjahr bei der Geschäftsstelle des Vereins einzureichen. Eine nach Übermittlung der Ausbildungs- bzw. Studienbescheinigung eintretende Änderung der Verhältnisse ist für die Beitragsbemessung und die Einbeziehung in die Familienmitgliedschaft erst ab dem auf das Rechnungsjahr, für das die Bescheinigung eingereicht wurde, folgenden Rechnungsjahr zu berücksichtigen. Die vorstehenden Regelungen gelten für in Studium oder Ausbildung befindliche Familienmitglieder im Sinne von § 4 Abs.2 der Satzung entsprechend.</w:t>
      </w:r>
    </w:p>
    <w:p>
      <w:pPr>
        <w:pStyle w:val="Normal"/>
        <w:spacing w:lineRule="auto" w:line="259" w:before="0" w:after="120"/>
        <w:rPr>
          <w:rFonts w:ascii="Arial" w:hAnsi="Arial" w:cs="Arial"/>
          <w:sz w:val="24"/>
          <w:szCs w:val="24"/>
        </w:rPr>
      </w:pPr>
      <w:r>
        <w:rPr>
          <w:rFonts w:cs="Arial" w:ascii="Arial" w:hAnsi="Arial"/>
          <w:sz w:val="24"/>
          <w:szCs w:val="24"/>
        </w:rPr>
        <w:t xml:space="preserve">Zur Vermeidung von Härtefällen kann der Vorstand durch Beschluss von der Erfüllung von einzelnen Voraussetzungen für die Familienmitgliedschaft absehen, sowie Vereinsbeiträge reduzieren oder erlassen. </w:t>
      </w:r>
    </w:p>
    <w:p>
      <w:pPr>
        <w:pStyle w:val="Normal"/>
        <w:spacing w:lineRule="auto" w:line="259" w:before="0" w:after="120"/>
        <w:rPr>
          <w:rFonts w:ascii="Arial" w:hAnsi="Arial" w:cs="Arial"/>
          <w:b/>
          <w:b/>
          <w:sz w:val="24"/>
          <w:szCs w:val="24"/>
        </w:rPr>
      </w:pPr>
      <w:r>
        <w:rPr>
          <w:rFonts w:cs="Arial" w:ascii="Arial" w:hAnsi="Arial"/>
          <w:b/>
          <w:sz w:val="24"/>
          <w:szCs w:val="24"/>
        </w:rPr>
        <w:t>Fälligkeit und Entrichtung der Beiträge</w:t>
      </w:r>
    </w:p>
    <w:p>
      <w:pPr>
        <w:pStyle w:val="Normal"/>
        <w:spacing w:lineRule="auto" w:line="259" w:before="0" w:after="120"/>
        <w:rPr>
          <w:rFonts w:ascii="Arial" w:hAnsi="Arial" w:cs="Arial"/>
          <w:sz w:val="24"/>
          <w:szCs w:val="24"/>
        </w:rPr>
      </w:pPr>
      <w:r>
        <w:rPr>
          <w:rFonts w:cs="Arial" w:ascii="Arial" w:hAnsi="Arial"/>
          <w:sz w:val="24"/>
          <w:szCs w:val="24"/>
        </w:rPr>
        <w:t>Die Jahresbeiträge sind für das gesamte Rechnungsjahr am 1. Januar eines jeden Jahres fällig.</w:t>
      </w:r>
    </w:p>
    <w:p>
      <w:pPr>
        <w:pStyle w:val="Normal"/>
        <w:spacing w:lineRule="auto" w:line="259" w:before="0" w:after="120"/>
        <w:rPr>
          <w:rFonts w:ascii="Arial" w:hAnsi="Arial" w:cs="Arial"/>
          <w:sz w:val="24"/>
          <w:szCs w:val="24"/>
        </w:rPr>
      </w:pPr>
      <w:r>
        <w:rPr>
          <w:rFonts w:cs="Arial" w:ascii="Arial" w:hAnsi="Arial"/>
          <w:sz w:val="24"/>
          <w:szCs w:val="24"/>
        </w:rPr>
        <w:t xml:space="preserve">Für das Jahr des Beitritts ist der Jahresbeitrag zeitanteilig zu entrichten. Bei Eintritt in einem Kalendermonat ist der Beitrag ab dem folgenden Kalendermonat zu entrichten. Der zeitanteilige Jahresbeitrag ist zusammen mit dem Aufnahmebeitrag innerhalb von sechs Wochen nach Annahme des Aufnahmeantrages durch den Vorstand fällig. </w:t>
      </w:r>
    </w:p>
    <w:p>
      <w:pPr>
        <w:pStyle w:val="Normal"/>
        <w:spacing w:lineRule="auto" w:line="259" w:before="0" w:after="120"/>
        <w:rPr>
          <w:rFonts w:ascii="Arial" w:hAnsi="Arial" w:cs="Arial"/>
          <w:sz w:val="24"/>
          <w:szCs w:val="24"/>
        </w:rPr>
      </w:pPr>
      <w:r>
        <w:rPr>
          <w:rFonts w:cs="Arial" w:ascii="Arial" w:hAnsi="Arial"/>
          <w:sz w:val="24"/>
          <w:szCs w:val="24"/>
        </w:rPr>
        <w:t xml:space="preserve">Für den Einzug der (ggf. zeitanteiligen) Jahresbeiträge und der Aufnahmegebühr ist dem Verein vom Mitglied grundsätzlich eine SEPA-Einzugsermächtigung zu erteilen. Über Ausnahmen von diesem Grundsatz entscheidet der Vorstand durch Beschluss. </w:t>
      </w:r>
    </w:p>
    <w:p>
      <w:pPr>
        <w:pStyle w:val="Normal"/>
        <w:spacing w:lineRule="auto" w:line="259" w:before="0" w:after="120"/>
        <w:rPr>
          <w:rFonts w:ascii="Arial" w:hAnsi="Arial" w:cs="Arial"/>
          <w:sz w:val="24"/>
          <w:szCs w:val="24"/>
        </w:rPr>
      </w:pPr>
      <w:r>
        <w:rPr>
          <w:rFonts w:cs="Arial" w:ascii="Arial" w:hAnsi="Arial"/>
          <w:sz w:val="24"/>
          <w:szCs w:val="24"/>
        </w:rPr>
        <w:t xml:space="preserve">Wenn und soweit eine SEPA-Einzugsermächtigung erteilt wurde, sind Änderungen der Bankverbindung dem Verein unverzüglich mitzuteilen. </w:t>
      </w:r>
    </w:p>
    <w:p>
      <w:pPr>
        <w:pStyle w:val="Normal"/>
        <w:spacing w:lineRule="auto" w:line="259" w:before="0" w:after="120"/>
        <w:rPr>
          <w:rFonts w:ascii="Arial" w:hAnsi="Arial" w:cs="Arial"/>
          <w:sz w:val="24"/>
          <w:szCs w:val="24"/>
        </w:rPr>
      </w:pPr>
      <w:r>
        <w:rPr>
          <w:rFonts w:cs="Arial" w:ascii="Arial" w:hAnsi="Arial"/>
          <w:sz w:val="24"/>
          <w:szCs w:val="24"/>
        </w:rPr>
        <w:t xml:space="preserve">Für Zahlungsrückstände und Rücklastschriften hat der Verein für den Versand einer ersten Mahnung Anspruch auf eine Mahngebühr von EUR 5,00. Für die zweite Mahnung fällt eine Mahngebühr in Höhe von EUR 10,00 an. </w:t>
      </w:r>
    </w:p>
    <w:p>
      <w:pPr>
        <w:pStyle w:val="Normal"/>
        <w:shd w:val="clear" w:color="auto" w:fill="D9D9D9"/>
        <w:spacing w:lineRule="auto" w:line="259"/>
        <w:rPr>
          <w:rFonts w:ascii="Arial" w:hAnsi="Arial" w:cs="Arial"/>
          <w:sz w:val="24"/>
          <w:szCs w:val="24"/>
        </w:rPr>
      </w:pPr>
      <w:r>
        <w:rPr>
          <w:rFonts w:cs="Arial" w:ascii="Arial" w:hAnsi="Arial"/>
          <w:sz w:val="24"/>
          <w:szCs w:val="24"/>
        </w:rPr>
        <w:t>Vorsorglich wird darauf hingewiesen, dass ein Zahlungsrückstand von mehr als einem Jahr gem. 4 Abs.4 lit. d) der Satzung mit dem Ausschluss aus dem Verein geahndet werden kann.</w:t>
      </w:r>
    </w:p>
    <w:p>
      <w:pPr>
        <w:pStyle w:val="Normal"/>
        <w:spacing w:lineRule="auto" w:line="259"/>
        <w:rPr>
          <w:rFonts w:ascii="Arial" w:hAnsi="Arial" w:cs="Arial"/>
          <w:sz w:val="24"/>
          <w:szCs w:val="24"/>
        </w:rPr>
      </w:pPr>
      <w:r>
        <w:rPr>
          <w:rFonts w:cs="Arial" w:ascii="Arial" w:hAnsi="Arial"/>
          <w:sz w:val="24"/>
          <w:szCs w:val="24"/>
        </w:rPr>
      </w:r>
    </w:p>
    <w:p>
      <w:pPr>
        <w:pStyle w:val="Normal"/>
        <w:spacing w:lineRule="auto" w:line="259"/>
        <w:jc w:val="right"/>
        <w:rPr>
          <w:rFonts w:ascii="Arial" w:hAnsi="Arial" w:cs="Arial"/>
          <w:sz w:val="24"/>
          <w:szCs w:val="24"/>
        </w:rPr>
      </w:pPr>
      <w:r>
        <w:rPr>
          <w:rFonts w:cs="Arial" w:ascii="Arial" w:hAnsi="Arial"/>
          <w:sz w:val="24"/>
          <w:szCs w:val="24"/>
        </w:rPr>
      </w:r>
    </w:p>
    <w:p>
      <w:pPr>
        <w:pStyle w:val="Normal"/>
        <w:spacing w:lineRule="auto" w:line="259"/>
        <w:jc w:val="right"/>
        <w:rPr>
          <w:rFonts w:ascii="Arial" w:hAnsi="Arial" w:cs="Arial"/>
          <w:sz w:val="24"/>
          <w:szCs w:val="24"/>
        </w:rPr>
      </w:pPr>
      <w:r>
        <w:rPr>
          <w:rFonts w:cs="Arial" w:ascii="Arial" w:hAnsi="Arial"/>
          <w:sz w:val="24"/>
          <w:szCs w:val="24"/>
        </w:rPr>
      </w:r>
    </w:p>
    <w:p>
      <w:pPr>
        <w:pStyle w:val="Normal"/>
        <w:spacing w:lineRule="auto" w:line="259"/>
        <w:jc w:val="right"/>
        <w:rPr>
          <w:rFonts w:ascii="Arial" w:hAnsi="Arial" w:cs="Arial"/>
          <w:sz w:val="24"/>
          <w:szCs w:val="24"/>
        </w:rPr>
      </w:pPr>
      <w:r>
        <w:rPr>
          <w:rFonts w:cs="Arial" w:ascii="Arial" w:hAnsi="Arial"/>
          <w:sz w:val="24"/>
          <w:szCs w:val="24"/>
        </w:rPr>
      </w:r>
    </w:p>
    <w:p>
      <w:pPr>
        <w:pStyle w:val="Normal"/>
        <w:spacing w:lineRule="auto" w:line="259" w:before="0" w:after="200"/>
        <w:jc w:val="right"/>
        <w:rPr>
          <w:rFonts w:ascii="Arial" w:hAnsi="Arial" w:cs="Arial"/>
          <w:sz w:val="24"/>
          <w:szCs w:val="24"/>
        </w:rPr>
      </w:pPr>
      <w:r>
        <w:rPr>
          <w:rFonts w:cs="Arial" w:ascii="Arial" w:hAnsi="Arial"/>
          <w:sz w:val="24"/>
          <w:szCs w:val="24"/>
        </w:rPr>
        <w:t>Stand: 2018</w:t>
      </w:r>
    </w:p>
    <w:sectPr>
      <w:headerReference w:type="default" r:id="rId2"/>
      <w:footerReference w:type="default" r:id="rId3"/>
      <w:type w:val="nextPage"/>
      <w:pgSz w:w="11906" w:h="16838"/>
      <w:pgMar w:left="1417" w:right="1106"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Mono">
    <w:altName w:val="Courier New"/>
    <w:charset w:val="01"/>
    <w:family w:val="roman"/>
    <w:pitch w:val="variable"/>
  </w:font>
  <w:font w:name="Liberation Sans">
    <w:altName w:val="Arial"/>
    <w:charset w:val="01"/>
    <w:family w:val="roman"/>
    <w:pitch w:val="variable"/>
  </w:font>
  <w:font w:name="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t xml:space="preserve">Seite </w:t>
    </w:r>
    <w:r>
      <w:rPr/>
      <w:fldChar w:fldCharType="begin"/>
    </w:r>
    <w:r>
      <w:rPr/>
      <w:instrText> PAGE </w:instrText>
    </w:r>
    <w:r>
      <w:rPr/>
      <w:fldChar w:fldCharType="separate"/>
    </w:r>
    <w:r>
      <w:rPr/>
      <w:t>2</w:t>
    </w:r>
    <w:r>
      <w:rPr/>
      <w:fldChar w:fldCharType="end"/>
    </w:r>
    <w:r>
      <w:rPr/>
      <w:t xml:space="preserve"> von </w:t>
    </w:r>
    <w:r>
      <w:rPr/>
      <w:fldChar w:fldCharType="begin"/>
    </w:r>
    <w:r>
      <w:rPr/>
      <w:instrText>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center"/>
      <w:rPr/>
    </w:pPr>
    <w:r>
      <w:rPr>
        <w:rFonts w:cs="Arial" w:ascii="Arial" w:hAnsi="Arial"/>
        <w:sz w:val="28"/>
        <w:szCs w:val="28"/>
      </w:rPr>
      <w:t>Krefelder Sportschützenkorps 1842 e.V.</w:t>
      <w:tab/>
      <w:t xml:space="preserve">   Färberstraße 8     47798 Krefeld</w:t>
      <w:br/>
      <w:br/>
    </w:r>
    <w:r>
      <w:rPr/>
      <w:drawing>
        <wp:inline distT="0" distB="0" distL="0" distR="0">
          <wp:extent cx="747395" cy="739775"/>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1"/>
                  <a:stretch>
                    <a:fillRect/>
                  </a:stretch>
                </pic:blipFill>
                <pic:spPr bwMode="auto">
                  <a:xfrm>
                    <a:off x="0" y="0"/>
                    <a:ext cx="747395" cy="7397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de-DE" w:eastAsia="de-DE"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91014"/>
    <w:pPr>
      <w:widowControl/>
      <w:suppressAutoHyphens w:val="false"/>
      <w:bidi w:val="0"/>
      <w:spacing w:lineRule="auto" w:line="276" w:before="0" w:after="200"/>
      <w:jc w:val="left"/>
    </w:pPr>
    <w:rPr>
      <w:rFonts w:ascii="Calibri" w:hAnsi="Calibri" w:eastAsia="Calibri" w:cs="Times New Roman"/>
      <w:color w:val="auto"/>
      <w:kern w:val="0"/>
      <w:sz w:val="22"/>
      <w:szCs w:val="22"/>
      <w:lang w:val="de-DE" w:eastAsia="en-US" w:bidi="ar-SA"/>
    </w:rPr>
  </w:style>
  <w:style w:type="character" w:styleId="DefaultParagraphFont" w:default="1">
    <w:name w:val="Default Paragraph Font"/>
    <w:uiPriority w:val="99"/>
    <w:semiHidden/>
    <w:qFormat/>
    <w:rPr/>
  </w:style>
  <w:style w:type="character" w:styleId="HeaderChar" w:customStyle="1">
    <w:name w:val="Header Char"/>
    <w:basedOn w:val="DefaultParagraphFont"/>
    <w:link w:val="Header"/>
    <w:uiPriority w:val="99"/>
    <w:qFormat/>
    <w:locked/>
    <w:rsid w:val="00b805b0"/>
    <w:rPr>
      <w:rFonts w:cs="Times New Roman"/>
    </w:rPr>
  </w:style>
  <w:style w:type="character" w:styleId="FooterChar" w:customStyle="1">
    <w:name w:val="Footer Char"/>
    <w:basedOn w:val="DefaultParagraphFont"/>
    <w:link w:val="Footer"/>
    <w:uiPriority w:val="99"/>
    <w:qFormat/>
    <w:locked/>
    <w:rsid w:val="00b805b0"/>
    <w:rPr>
      <w:rFonts w:cs="Times New Roman"/>
    </w:rPr>
  </w:style>
  <w:style w:type="character" w:styleId="BalloonTextChar" w:customStyle="1">
    <w:name w:val="Balloon Text Char"/>
    <w:basedOn w:val="DefaultParagraphFont"/>
    <w:link w:val="BalloonText"/>
    <w:uiPriority w:val="99"/>
    <w:semiHidden/>
    <w:qFormat/>
    <w:locked/>
    <w:rsid w:val="00706f2f"/>
    <w:rPr>
      <w:rFonts w:ascii="Segoe UI" w:hAnsi="Segoe UI" w:cs="Segoe UI"/>
      <w:sz w:val="18"/>
      <w:szCs w:val="18"/>
    </w:rPr>
  </w:style>
  <w:style w:type="character" w:styleId="Quelltext">
    <w:name w:val="Quelltext"/>
    <w:qFormat/>
    <w:rPr>
      <w:rFonts w:ascii="Liberation Mono" w:hAnsi="Liberation Mono" w:eastAsia="Liberation Mono" w:cs="Liberation Mono"/>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ListParagraph">
    <w:name w:val="List Paragraph"/>
    <w:basedOn w:val="Normal"/>
    <w:uiPriority w:val="99"/>
    <w:qFormat/>
    <w:rsid w:val="0027080a"/>
    <w:pPr>
      <w:spacing w:before="0" w:after="200"/>
      <w:ind w:left="720" w:hanging="0"/>
      <w:contextualSpacing/>
    </w:pPr>
    <w:rPr/>
  </w:style>
  <w:style w:type="paragraph" w:styleId="KopfundFuzeile">
    <w:name w:val="Kopf- und Fußzeile"/>
    <w:basedOn w:val="Normal"/>
    <w:qFormat/>
    <w:pPr/>
    <w:rPr/>
  </w:style>
  <w:style w:type="paragraph" w:styleId="Kopfzeile">
    <w:name w:val="Header"/>
    <w:basedOn w:val="Normal"/>
    <w:link w:val="HeaderChar"/>
    <w:uiPriority w:val="99"/>
    <w:rsid w:val="00b805b0"/>
    <w:pPr>
      <w:tabs>
        <w:tab w:val="clear" w:pos="708"/>
        <w:tab w:val="center" w:pos="4536" w:leader="none"/>
        <w:tab w:val="right" w:pos="9072" w:leader="none"/>
      </w:tabs>
      <w:spacing w:lineRule="auto" w:line="240" w:before="0" w:after="0"/>
    </w:pPr>
    <w:rPr/>
  </w:style>
  <w:style w:type="paragraph" w:styleId="Fuzeile">
    <w:name w:val="Footer"/>
    <w:basedOn w:val="Normal"/>
    <w:link w:val="FooterChar"/>
    <w:uiPriority w:val="99"/>
    <w:rsid w:val="00b805b0"/>
    <w:pPr>
      <w:tabs>
        <w:tab w:val="clear" w:pos="708"/>
        <w:tab w:val="center" w:pos="4536" w:leader="none"/>
        <w:tab w:val="right" w:pos="9072" w:leader="none"/>
      </w:tabs>
      <w:spacing w:lineRule="auto" w:line="240" w:before="0" w:after="0"/>
    </w:pPr>
    <w:rPr/>
  </w:style>
  <w:style w:type="paragraph" w:styleId="BalloonText">
    <w:name w:val="Balloon Text"/>
    <w:basedOn w:val="Normal"/>
    <w:link w:val="BalloonTextChar"/>
    <w:uiPriority w:val="99"/>
    <w:semiHidden/>
    <w:qFormat/>
    <w:rsid w:val="00706f2f"/>
    <w:pPr>
      <w:spacing w:lineRule="auto" w:line="240" w:before="0" w:after="0"/>
    </w:pPr>
    <w:rPr>
      <w:rFonts w:ascii="Segoe UI" w:hAnsi="Segoe UI" w:cs="Segoe UI"/>
      <w:sz w:val="18"/>
      <w:szCs w:val="18"/>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Application>LibreOffice/6.4.6.2$Linux_X86_64 LibreOffice_project/40$Build-2</Application>
  <Pages>2</Pages>
  <Words>446</Words>
  <Characters>2936</Characters>
  <CharactersWithSpaces>3375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2020-05-24T10:54:00Z</dcterms:created>
  <dc:creator>Heinrich Funke</dc:creator>
  <dc:description/>
  <dc:language>de-DE</dc:language>
  <cp:lastModifiedBy/>
  <cp:lastPrinted>2018-01-28T13:59:00Z</cp:lastPrinted>
  <dcterms:modified xsi:type="dcterms:W3CDTF">2021-04-09T21:40:23Z</dcterms:modified>
  <cp:revision>6</cp:revision>
  <dc:subject/>
  <dc:title>Krefelder Sportschützenkorps 1842 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